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including (if applicable) each Statement of Work;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Call-Off Contracts.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during the Contract Period following the Framework Contract Commencement Date.  After this Framework Prices can only be adjusted prior to the start of each Framework Optional Extension Period (the date of each such extension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there will be no increase.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movement in the different identified cost components of the relevant Framework Price;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reasons for the movement in the different identified cost components of the relevant Framework Price;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approves an increase then it will be implemented from the start of the Framework Optional Extension Period following the Review Date or such later date as CCS may determine at its sole discretion and Annex 1 shall be updated accordingly.</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will be reimbursed for travel and subsistence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Reimburseable Expenses and are supported by Supporting Documentation.</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7.1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provide a copy of their current Expenses Policy to the Supplier upon request in Annex 2 of Call-Off Schedule 5.</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67"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Pricing Mechanisms available for all Services</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use one or a combination of two or more of the following Pricing Mechanisms: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Capped Time and Materials (CTM),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Incremental Fixed Price,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Time and Materials (T&amp;M), 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Fixed Price,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Further Competition Procedure. Should a Buyer require an Hourly Rate then the Supplier’s Hourly Rates shall be no greater than the Supplier’s Day Rates divided by 7.5, the number of hours to be worked in a Work Day.  Pricing submitted as part of a Further Competition Procedure shall be used in the calculation of applicable Charges under each Call-Off Contract (and, if applicable, under each Statement of Work). Such pricing shall be no greater than that set out in the Framework Prices or, as applicable, a lower price tendered under the Further Competition Procedure.  All Charges shall be invoiced based on the accurate reflection of the proportion of each Work Day Supplier Staff have actually worked providing the Deliverables under and in accordance with the Contract and, if applicable, under each SOW (for example, 3 hours and 30 minutes worked will be invoiced at 3.5 hours).</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only be able to add new Service(s) to the Framework Contract in accordance with Paragraph 2.13 of Framework Schedule 1 (Specification) upon receipt of CCS’ prior written consent where, if granted, they shall be made available to Buyers under their Call-Off Contracts.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provide its pricing, as part of the Further Competition Procedure tender response, in the format and applying the applicable Pricing Mechanism, including details of any discount structures, incentivisation or gainshare, specified by the Buyer in its Statement of Requirements. The Buyer may request that the Supplier provide a breakdown of how the total price was calculated and provide copies of supporting documentation. The Supplier must provide a cost breakdown in the format and to the timetable requested by the Buyer, and should the Supplier fail to do so, the Buyer may reject the Supplier’s bid without further consideration.</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invoice the Buyer the full cost of the Deliverables satisfactorily supplied in accordance with the Charges and will not require the Buyer to pay any third party for any part of the Deliverables supplied by or on behalf of the Supplier under the Contract.</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67" w:right="0" w:hanging="56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Pricing for Lot 1 - Digital Programmes</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a Further Competition Procedure, the Supplier will provide a total price for Delivery based on the expected outcome specified by the Buyer in its Statement of Requirements.</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67" w:right="0" w:hanging="56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Pricing for Lot 2 - Digital Specialists</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part of its Framework Tender, the Supplier will provide a maximum Day Rate for each Supplier Staff grade per Work Day as set out in Annex 1 of this Schedule and as also detailed in the Platform (if applicable). This Day Rate will be the maximum price a Supplier can charge any Buyer per Work Day for that Supplier Staff specific role for work competently undertaken on the Deliverables in accordance with the terms of the Contract.</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 is the maximum Day Rate per Supplier Staff grade and is fixed for the Contract Period and can only be amended in accordance with Paragraph 4.1 of this Schedule.</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a Further Competition Procedure, the Supplier will provide a Day Rate not exceeding its maximum rate for the Supplier Staff grade set out in Annex 1 for the role and skills required by the Buyer’s Statement of Requirements. The Day Rate Framework Price excludes VAT and excludes travel and expenses which are, where permitted to be claimed, capped in accordance with the Buyer’s Expense Policy’s permitted maximum (if applicable, see Annex 2 of this Schedule) or as otherwise stated in the Order Form.</w:t>
      </w:r>
    </w:p>
    <w:p w:rsidR="00000000" w:rsidDel="00000000" w:rsidP="00000000" w:rsidRDefault="00000000" w:rsidRPr="00000000" w14:paraId="0000003B">
      <w:pPr>
        <w:ind w:left="1701" w:hanging="99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rPr>
          <w:rFonts w:ascii="Arial" w:cs="Arial" w:eastAsia="Arial" w:hAnsi="Arial"/>
          <w:b w:val="1"/>
          <w:sz w:val="36"/>
          <w:szCs w:val="36"/>
        </w:rPr>
      </w:pPr>
      <w:bookmarkStart w:colFirst="0" w:colLast="0" w:name="_heading=h.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F">
      <w:pPr>
        <w:rPr>
          <w:rFonts w:ascii="Arial" w:cs="Arial" w:eastAsia="Arial" w:hAnsi="Arial"/>
          <w:i w:val="1"/>
          <w:sz w:val="24"/>
          <w:szCs w:val="24"/>
        </w:rPr>
      </w:pPr>
      <w:bookmarkStart w:colFirst="0" w:colLast="0" w:name="_heading=h.1t3h5sf" w:id="7"/>
      <w:bookmarkEnd w:id="7"/>
      <w:r w:rsidDel="00000000" w:rsidR="00000000" w:rsidRPr="00000000">
        <w:rPr>
          <w:rtl w:val="0"/>
        </w:rPr>
      </w:r>
    </w:p>
    <w:p w:rsidR="00000000" w:rsidDel="00000000" w:rsidP="00000000" w:rsidRDefault="00000000" w:rsidRPr="00000000" w14:paraId="00000040">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Rate Card: Day Rates</w:t>
      </w:r>
    </w:p>
    <w:p w:rsidR="00000000" w:rsidDel="00000000" w:rsidP="00000000" w:rsidRDefault="00000000" w:rsidRPr="00000000" w14:paraId="00000041">
      <w:pPr>
        <w:keepNext w:val="1"/>
        <w:spacing w:after="120" w:before="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its Subcontractors) shall not be entitled to include any uplift for risks or contingencies within its Day Rates.</w:t>
      </w:r>
    </w:p>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The Day Rates set out in the Pricing Matrix below shall be the rate for each Work Day for each DDaT Supplier Staff grade under the Role Family.</w:t>
      </w:r>
    </w:p>
    <w:p w:rsidR="00000000" w:rsidDel="00000000" w:rsidP="00000000" w:rsidRDefault="00000000" w:rsidRPr="00000000" w14:paraId="00000043">
      <w:pPr>
        <w:keepNext w:val="1"/>
        <w:spacing w:after="240" w:before="240" w:line="240" w:lineRule="auto"/>
        <w:rPr>
          <w:rFonts w:ascii="Arial" w:cs="Arial" w:eastAsia="Arial" w:hAnsi="Arial"/>
          <w:b w:val="1"/>
          <w:sz w:val="24"/>
          <w:szCs w:val="24"/>
        </w:rPr>
      </w:pPr>
      <w:bookmarkStart w:colFirst="0" w:colLast="0" w:name="_heading=h.4d34og8" w:id="8"/>
      <w:bookmarkEnd w:id="8"/>
      <w:r w:rsidDel="00000000" w:rsidR="00000000" w:rsidRPr="00000000">
        <w:rPr>
          <w:rFonts w:ascii="Arial" w:cs="Arial" w:eastAsia="Arial" w:hAnsi="Arial"/>
          <w:b w:val="1"/>
          <w:color w:val="000000"/>
          <w:rtl w:val="0"/>
        </w:rPr>
        <w:t xml:space="preserve">Redacted under FOIA section 43, Commercial Interests</w:t>
      </w:r>
      <w:r w:rsidDel="00000000" w:rsidR="00000000" w:rsidRPr="00000000">
        <w:rPr>
          <w:rFonts w:ascii="Calibri" w:cs="Calibri" w:eastAsia="Calibri" w:hAnsi="Calibri"/>
          <w:sz w:val="24"/>
          <w:szCs w:val="24"/>
          <w:highlight w:val="yellow"/>
          <w:rtl w:val="0"/>
        </w:rPr>
        <w:t xml:space="preserve"> </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tab/>
      <w:t xml:space="preserve">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ListParagraph">
    <w:name w:val="List Paragraph"/>
    <w:basedOn w:val="Normal"/>
    <w:uiPriority w:val="34"/>
    <w:qFormat w:val="1"/>
    <w:rsid w:val="00946697"/>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6q2dueTeL+xxWqZyzuh4VK1JRw==">AMUW2mWITk1ayxLuq4QxFIJWIBh9bD5ua0MRqcQ9lbk+d+TsltNV5V4sgYkJ5gAUI+JFtJoVWUdiI6NTv7xgPm8ls17mrCqbN0h5v3IdSk30BNRFpF+a9iUYo/tv3Jvwz0mtvVAd/7QDufP2lHrHHwmeeK3LbHPBhxydoFCtShOQ4EYpm7eTsSJ4ubQ9/t3/bv9WFgAV0xH54PHbsXc9suMvJFezn2MwrH4kE1MsWvXALlTSyadzi7bMiZoyUHLwTfNxc1TyOHbHyH03X1D0QRlw+xtqVlvZ1SqbpNrSADZqmoFQhjPJBoUftYdUyRaunzmdZtHySTb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2022-03-10T15:30:00Z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